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A214C0">
        <w:rPr>
          <w:rFonts w:ascii="Sylfaen" w:hAnsi="Sylfaen"/>
          <w:b/>
          <w:lang w:val="ka-GE"/>
        </w:rPr>
        <w:t>საქართველოს ინდუსტრიული ჯგუფი</w:t>
      </w:r>
      <w:r w:rsidR="00C74D4F">
        <w:rPr>
          <w:rFonts w:ascii="Sylfaen" w:hAnsi="Sylfaen"/>
          <w:b/>
          <w:lang w:val="ka-GE"/>
        </w:rPr>
        <w:t>“</w:t>
      </w:r>
    </w:p>
    <w:p w:rsidR="00B00A1F" w:rsidRDefault="00B00A1F" w:rsidP="00C75A5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C75A5D">
        <w:rPr>
          <w:rFonts w:ascii="Sylfaen" w:hAnsi="Sylfaen"/>
          <w:b/>
          <w:lang w:val="ka-GE"/>
        </w:rPr>
        <w:t>ქსელური მოწყობილობის</w:t>
      </w:r>
      <w:r w:rsidR="0072743B">
        <w:rPr>
          <w:rFonts w:ascii="Sylfaen" w:hAnsi="Sylfaen"/>
          <w:b/>
          <w:lang w:val="ka-GE"/>
        </w:rPr>
        <w:t xml:space="preserve"> </w:t>
      </w:r>
      <w:r w:rsidR="00C75A5D">
        <w:rPr>
          <w:rFonts w:ascii="Sylfaen" w:hAnsi="Sylfaen"/>
          <w:b/>
          <w:lang w:val="ka-GE"/>
        </w:rPr>
        <w:t>შესყიდვაზე</w:t>
      </w:r>
      <w:r w:rsidR="00804A3B">
        <w:rPr>
          <w:rFonts w:ascii="Sylfaen" w:hAnsi="Sylfaen"/>
          <w:b/>
          <w:lang w:val="ka-GE"/>
        </w:rPr>
        <w:t>.</w:t>
      </w:r>
    </w:p>
    <w:p w:rsidR="00B00A1F" w:rsidRDefault="008B1806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</w:t>
      </w:r>
      <w:r w:rsidR="00483415">
        <w:rPr>
          <w:rFonts w:ascii="Sylfaen" w:hAnsi="Sylfaen"/>
          <w:b/>
          <w:lang w:val="ka-GE"/>
        </w:rPr>
        <w:t>4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C75A5D">
        <w:rPr>
          <w:rFonts w:ascii="Sylfaen" w:hAnsi="Sylfaen"/>
          <w:b/>
          <w:lang w:val="en-US"/>
        </w:rPr>
        <w:t>6</w:t>
      </w:r>
      <w:r w:rsidR="00C74D4F">
        <w:rPr>
          <w:rFonts w:ascii="Sylfaen" w:hAnsi="Sylfaen"/>
          <w:b/>
          <w:lang w:val="en-US"/>
        </w:rPr>
        <w:t>-GIEC</w:t>
      </w:r>
      <w:r w:rsidR="00A214C0">
        <w:rPr>
          <w:rFonts w:ascii="Sylfaen" w:hAnsi="Sylfaen"/>
          <w:b/>
          <w:lang w:val="en-US"/>
        </w:rPr>
        <w:t>-G</w:t>
      </w:r>
      <w:r w:rsidR="00B00A1F">
        <w:rPr>
          <w:rFonts w:ascii="Sylfaen" w:hAnsi="Sylfaen"/>
          <w:b/>
          <w:lang w:val="en-US"/>
        </w:rPr>
        <w:t>/</w:t>
      </w:r>
      <w:r w:rsidR="00A214C0">
        <w:rPr>
          <w:rFonts w:ascii="Sylfaen" w:hAnsi="Sylfaen"/>
          <w:b/>
          <w:lang w:val="en-US"/>
        </w:rPr>
        <w:t>IT</w:t>
      </w:r>
      <w:r w:rsidR="002B3E81">
        <w:rPr>
          <w:rFonts w:ascii="Sylfaen" w:hAnsi="Sylfaen"/>
          <w:b/>
          <w:lang w:val="en-US"/>
        </w:rPr>
        <w:t>-22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B059C7" w:rsidRPr="00D5710D" w:rsidRDefault="00804A3B" w:rsidP="00804A3B">
      <w:pPr>
        <w:spacing w:line="276" w:lineRule="auto"/>
        <w:rPr>
          <w:rFonts w:ascii="Sylfaen" w:hAnsi="Sylfaen"/>
          <w:lang w:val="en-US"/>
        </w:rPr>
      </w:pPr>
      <w:r w:rsidRPr="00804A3B">
        <w:rPr>
          <w:rFonts w:ascii="Sylfaen" w:hAnsi="Sylfaen"/>
          <w:b/>
          <w:lang w:val="ka-GE"/>
        </w:rPr>
        <w:t xml:space="preserve">შესყიდვის ობიექტის დახასიათება: </w:t>
      </w:r>
      <w:r w:rsidR="00C75A5D">
        <w:rPr>
          <w:rFonts w:ascii="Sylfaen" w:hAnsi="Sylfaen"/>
          <w:b/>
          <w:lang w:val="ka-GE"/>
        </w:rPr>
        <w:t xml:space="preserve"> </w:t>
      </w:r>
      <w:r w:rsidR="00F72BAE">
        <w:t>Cisco Catalyst 9300L</w:t>
      </w:r>
    </w:p>
    <w:p w:rsidR="00C525A6" w:rsidRDefault="00C525A6" w:rsidP="0072743B">
      <w:pPr>
        <w:jc w:val="both"/>
        <w:rPr>
          <w:rFonts w:ascii="Sylfaen" w:hAnsi="Sylfaen" w:cs="Sylfaen"/>
          <w:b/>
          <w:lang w:val="ka-GE"/>
        </w:rPr>
      </w:pPr>
    </w:p>
    <w:tbl>
      <w:tblPr>
        <w:tblW w:w="11104" w:type="dxa"/>
        <w:jc w:val="center"/>
        <w:tblLook w:val="04A0" w:firstRow="1" w:lastRow="0" w:firstColumn="1" w:lastColumn="0" w:noHBand="0" w:noVBand="1"/>
      </w:tblPr>
      <w:tblGrid>
        <w:gridCol w:w="2160"/>
        <w:gridCol w:w="8944"/>
      </w:tblGrid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2B54B9" w:rsidRDefault="00E86482" w:rsidP="006A294F">
            <w:pPr>
              <w:rPr>
                <w:rFonts w:ascii="Sylfaen" w:hAnsi="Sylfaen" w:cs="Sylfaen"/>
                <w:b/>
              </w:rPr>
            </w:pPr>
            <w:r w:rsidRPr="0062172C">
              <w:rPr>
                <w:rFonts w:ascii="Sylfaen" w:hAnsi="Sylfaen" w:cs="Sylfaen"/>
                <w:b/>
              </w:rPr>
              <w:t>კომუტატორი</w:t>
            </w: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62172C" w:rsidRDefault="00E86482" w:rsidP="006A294F">
            <w:pPr>
              <w:rPr>
                <w:rFonts w:ascii="Sylfaen" w:hAnsi="Sylfaen"/>
                <w:b/>
              </w:rPr>
            </w:pPr>
            <w:r w:rsidRPr="0062172C">
              <w:rPr>
                <w:rFonts w:ascii="Sylfaen" w:hAnsi="Sylfaen"/>
                <w:b/>
                <w:lang w:val="ka-GE"/>
              </w:rPr>
              <w:t xml:space="preserve">რაოდენობა </w:t>
            </w:r>
            <w:r w:rsidRPr="0062172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62172C">
              <w:rPr>
                <w:rFonts w:ascii="Sylfaen" w:hAnsi="Sylfaen"/>
                <w:b/>
                <w:lang w:val="ka-GE"/>
              </w:rPr>
              <w:t xml:space="preserve"> ცალი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</w:rPr>
              <w:t>ინტერფეისები: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  <w:lang w:val="ka-GE"/>
              </w:rPr>
              <w:t xml:space="preserve">მინიმუმ </w:t>
            </w:r>
            <w:r w:rsidRPr="009B6E4D">
              <w:rPr>
                <w:rFonts w:ascii="Sylfaen" w:hAnsi="Sylfaen" w:cs="Sylfaen"/>
                <w:color w:val="000000"/>
              </w:rPr>
              <w:t xml:space="preserve">24 Ethernet 10/100/1000 პორტები </w:t>
            </w:r>
            <w:r w:rsidRPr="009B6E4D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9B6E4D">
              <w:rPr>
                <w:rFonts w:ascii="Sylfaen" w:hAnsi="Sylfaen" w:cs="Sylfaen"/>
                <w:color w:val="000000"/>
              </w:rPr>
              <w:t xml:space="preserve"> </w:t>
            </w:r>
            <w:r w:rsidRPr="009B6E4D">
              <w:rPr>
                <w:rFonts w:ascii="Sylfaen" w:hAnsi="Sylfaen" w:cs="Sylfaen"/>
                <w:color w:val="000000"/>
                <w:lang w:val="ka-GE"/>
              </w:rPr>
              <w:t xml:space="preserve">მინიმუმ </w:t>
            </w:r>
            <w:r w:rsidRPr="009B6E4D">
              <w:rPr>
                <w:rFonts w:ascii="Sylfaen" w:hAnsi="Sylfaen" w:cs="Sylfaen"/>
                <w:color w:val="000000"/>
              </w:rPr>
              <w:t xml:space="preserve"> 4 SFP uplinks 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</w:rPr>
              <w:t>კომუტაციის სიჩქარე: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483A07">
              <w:rPr>
                <w:rFonts w:ascii="Sylfaen" w:hAnsi="Sylfaen" w:cs="Sylfaen"/>
                <w:color w:val="000000"/>
                <w:lang w:val="ka-GE"/>
              </w:rPr>
              <w:t xml:space="preserve">არანაკლებ </w:t>
            </w:r>
            <w:r w:rsidRPr="00483A07">
              <w:rPr>
                <w:rFonts w:ascii="Sylfaen" w:hAnsi="Sylfaen" w:cs="Sylfaen"/>
                <w:color w:val="000000"/>
              </w:rPr>
              <w:t>56 Gbps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</w:rPr>
              <w:t>ოპერატიული მეხსიერება: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483A07">
              <w:rPr>
                <w:rFonts w:ascii="Sylfaen" w:hAnsi="Sylfaen" w:cs="Sylfaen"/>
                <w:color w:val="000000"/>
                <w:lang w:val="ka-GE"/>
              </w:rPr>
              <w:t xml:space="preserve">არანაკლებ </w:t>
            </w:r>
            <w:r w:rsidRPr="00483A07">
              <w:rPr>
                <w:rFonts w:ascii="Sylfaen" w:hAnsi="Sylfaen" w:cs="Sylfaen"/>
                <w:color w:val="000000"/>
              </w:rPr>
              <w:t>8 GB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</w:rPr>
              <w:t>ფლეშ მეხსიერება: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483A07">
              <w:rPr>
                <w:rFonts w:ascii="Sylfaen" w:hAnsi="Sylfaen" w:cs="Sylfaen"/>
                <w:color w:val="000000"/>
                <w:lang w:val="ka-GE"/>
              </w:rPr>
              <w:t xml:space="preserve">არანაკლებ </w:t>
            </w:r>
            <w:r w:rsidRPr="00483A07">
              <w:rPr>
                <w:rFonts w:ascii="Sylfaen" w:hAnsi="Sylfaen" w:cs="Sylfaen"/>
                <w:color w:val="000000"/>
              </w:rPr>
              <w:t>16 GB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D5385F" w:rsidRDefault="00E86482" w:rsidP="006A294F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 xml:space="preserve">SVI </w:t>
            </w:r>
            <w:r>
              <w:rPr>
                <w:rFonts w:ascii="Sylfaen" w:hAnsi="Sylfaen" w:cs="Sylfaen"/>
                <w:color w:val="000000"/>
                <w:lang w:val="ka-GE"/>
              </w:rPr>
              <w:t>ინტერფეისების რაოდენბა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483A07">
              <w:rPr>
                <w:rFonts w:ascii="Sylfaen" w:hAnsi="Sylfaen" w:cs="Sylfaen"/>
                <w:color w:val="000000"/>
                <w:lang w:val="ka-GE"/>
              </w:rPr>
              <w:t>არანაკლებ 1000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9B6E4D">
              <w:rPr>
                <w:rFonts w:ascii="Sylfaen" w:hAnsi="Sylfaen" w:cs="Sylfaen"/>
                <w:color w:val="000000"/>
              </w:rPr>
              <w:t>პაკეტების გადაცემის სიჩქარე</w:t>
            </w:r>
            <w:r w:rsidRPr="009B6E4D">
              <w:rPr>
                <w:rFonts w:ascii="Sylfaen" w:hAnsi="Sylfaen" w:cs="Sylfaen"/>
                <w:color w:val="000000"/>
                <w:lang w:val="ka-GE"/>
              </w:rPr>
              <w:t>: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483A07">
              <w:rPr>
                <w:rFonts w:ascii="Sylfaen" w:hAnsi="Sylfaen" w:cs="Sylfaen"/>
                <w:color w:val="000000"/>
                <w:lang w:val="ka-GE"/>
              </w:rPr>
              <w:t>არანაკლებ 41.66 Mpps</w:t>
            </w:r>
          </w:p>
        </w:tc>
      </w:tr>
      <w:tr w:rsidR="00E86482" w:rsidRPr="00483415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</w:rPr>
              <w:t>პროტოკოლების</w:t>
            </w:r>
            <w:r w:rsidRPr="009B6E4D">
              <w:rPr>
                <w:rFonts w:ascii="Sylfaen" w:hAnsi="Sylfaen" w:cs="Sylfaen"/>
                <w:color w:val="000000"/>
                <w:lang w:val="ka-GE"/>
              </w:rPr>
              <w:t xml:space="preserve"> და ტექნოლოგიების</w:t>
            </w:r>
            <w:r w:rsidRPr="009B6E4D">
              <w:rPr>
                <w:rFonts w:ascii="Sylfaen" w:hAnsi="Sylfaen" w:cs="Sylfaen"/>
                <w:color w:val="000000"/>
              </w:rPr>
              <w:t xml:space="preserve"> მხარდაჭერა: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E86482">
              <w:rPr>
                <w:rFonts w:ascii="Sylfaen" w:hAnsi="Sylfaen" w:cs="Sylfaen"/>
                <w:color w:val="000000"/>
                <w:lang w:val="en-US"/>
              </w:rPr>
              <w:t xml:space="preserve">Routed Access (RIP, EIGRP Stub, OSPF - 1000 routes), PBR, PIM Stub Multicast (1000 routes)), PVLAN, VRRP, PBR, CDP, </w:t>
            </w:r>
            <w:proofErr w:type="spellStart"/>
            <w:r w:rsidRPr="00E86482">
              <w:rPr>
                <w:rFonts w:ascii="Sylfaen" w:hAnsi="Sylfaen" w:cs="Sylfaen"/>
                <w:color w:val="000000"/>
                <w:lang w:val="en-US"/>
              </w:rPr>
              <w:t>QoS</w:t>
            </w:r>
            <w:proofErr w:type="spellEnd"/>
            <w:r w:rsidRPr="00E86482">
              <w:rPr>
                <w:rFonts w:ascii="Sylfaen" w:hAnsi="Sylfaen" w:cs="Sylfaen"/>
                <w:color w:val="000000"/>
                <w:lang w:val="en-US"/>
              </w:rPr>
              <w:t xml:space="preserve">, FHS, 802.1X, MACsec-128, </w:t>
            </w:r>
            <w:proofErr w:type="spellStart"/>
            <w:r w:rsidRPr="00E86482">
              <w:rPr>
                <w:rFonts w:ascii="Sylfaen" w:hAnsi="Sylfaen" w:cs="Sylfaen"/>
                <w:color w:val="000000"/>
                <w:lang w:val="en-US"/>
              </w:rPr>
              <w:t>CoPP</w:t>
            </w:r>
            <w:proofErr w:type="spellEnd"/>
            <w:r w:rsidRPr="00E86482">
              <w:rPr>
                <w:rFonts w:ascii="Sylfaen" w:hAnsi="Sylfaen" w:cs="Sylfaen"/>
                <w:color w:val="000000"/>
                <w:lang w:val="en-US"/>
              </w:rPr>
              <w:t>, SXP, IP SLA Responder, SSO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, </w:t>
            </w:r>
            <w:r w:rsidRPr="00483A07">
              <w:rPr>
                <w:rFonts w:ascii="Sylfaen" w:hAnsi="Sylfaen" w:cs="Sylfaen"/>
                <w:color w:val="000000"/>
                <w:lang w:val="ka-GE"/>
              </w:rPr>
              <w:t>BGP, EIGRP, HSRP, IS-IS, BSR, MSDP, PIM-BIDIR,* IP SLA, OSPF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, </w:t>
            </w:r>
            <w:r w:rsidRPr="00483A07">
              <w:rPr>
                <w:rFonts w:ascii="Sylfaen" w:hAnsi="Sylfaen" w:cs="Sylfaen"/>
                <w:color w:val="000000"/>
                <w:lang w:val="ka-GE"/>
              </w:rPr>
              <w:t>VRF, VXLAN, LISP, TrustSec, SGT, MPLS, mVPN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, </w:t>
            </w:r>
            <w:r w:rsidRPr="00483A07">
              <w:rPr>
                <w:rFonts w:ascii="Sylfaen" w:hAnsi="Sylfaen" w:cs="Sylfaen"/>
                <w:color w:val="000000"/>
                <w:lang w:val="ka-GE"/>
              </w:rPr>
              <w:t>NETCONF, RESTCONF, gRPC, YANG, PnP Agent, ZTP/Open PnP, GuestShell (On-Box Python)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, </w:t>
            </w:r>
            <w:r w:rsidRPr="00483A07">
              <w:rPr>
                <w:rFonts w:ascii="Sylfaen" w:hAnsi="Sylfaen" w:cs="Sylfaen"/>
                <w:color w:val="000000"/>
                <w:lang w:val="ka-GE"/>
              </w:rPr>
              <w:t>Model-driven telemetry, sampled NetFlow, SPAN, RSPAN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, </w:t>
            </w:r>
            <w:r w:rsidRPr="00483A07">
              <w:rPr>
                <w:rFonts w:ascii="Sylfaen" w:hAnsi="Sylfaen" w:cs="Sylfaen"/>
                <w:color w:val="000000"/>
                <w:lang w:val="ka-GE"/>
              </w:rPr>
              <w:t>Nonstop Forwarding (NSF), Graceful Insertion and Removal (GIR), Extended Fast Software Upgrade (xFSU), Software Patching (CLI Based)</w:t>
            </w:r>
            <w:r>
              <w:rPr>
                <w:rFonts w:ascii="Sylfaen" w:hAnsi="Sylfaen" w:cs="Sylfaen"/>
                <w:color w:val="000000"/>
                <w:lang w:val="ka-GE"/>
              </w:rPr>
              <w:t>,</w:t>
            </w:r>
            <w:r w:rsidRPr="00E86482">
              <w:rPr>
                <w:lang w:val="en-US"/>
              </w:rPr>
              <w:t xml:space="preserve"> </w:t>
            </w:r>
            <w:r w:rsidRPr="00483A07">
              <w:rPr>
                <w:rFonts w:ascii="Sylfaen" w:hAnsi="Sylfaen" w:cs="Sylfaen"/>
                <w:color w:val="000000"/>
                <w:lang w:val="ka-GE"/>
              </w:rPr>
              <w:t>AVB, PTP, CoAP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, </w:t>
            </w:r>
            <w:r w:rsidRPr="00483A07">
              <w:rPr>
                <w:rFonts w:ascii="Sylfaen" w:hAnsi="Sylfaen" w:cs="Sylfaen"/>
                <w:color w:val="000000"/>
                <w:lang w:val="ka-GE"/>
              </w:rPr>
              <w:t>MACsec-256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9B6E4D">
              <w:rPr>
                <w:rFonts w:ascii="Sylfaen" w:hAnsi="Sylfaen" w:cs="Sylfaen"/>
                <w:color w:val="000000"/>
                <w:lang w:val="ka-GE"/>
              </w:rPr>
              <w:t>სტეკირების საშუალება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D5385F" w:rsidRDefault="00E86482" w:rsidP="006A294F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ჩაყენებული მოდულით და ყველა საიჭირო აქსესუარით.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ელ. კვება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483A07" w:rsidRDefault="00E86482" w:rsidP="006A294F">
            <w:pPr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დუბლირბეული კვების ბლოკი. 350</w:t>
            </w:r>
            <w:r>
              <w:rPr>
                <w:rFonts w:ascii="Sylfaen" w:hAnsi="Sylfaen" w:cs="Sylfaen"/>
                <w:color w:val="000000"/>
              </w:rPr>
              <w:t>W AC;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</w:rPr>
              <w:t>საკომუნიკაციო კარადაში ჩასაყენებელი: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color w:val="000000"/>
              </w:rPr>
            </w:pPr>
            <w:r w:rsidRPr="009B6E4D">
              <w:rPr>
                <w:rFonts w:ascii="Sylfaen" w:hAnsi="Sylfaen" w:cs="Sylfaen"/>
                <w:color w:val="000000"/>
                <w:lang w:val="ka-GE"/>
              </w:rPr>
              <w:t>სასურველია</w:t>
            </w:r>
            <w:r w:rsidRPr="009B6E4D">
              <w:rPr>
                <w:rFonts w:ascii="Sylfaen" w:hAnsi="Sylfaen" w:cs="Sylfaen"/>
                <w:color w:val="000000"/>
              </w:rPr>
              <w:t xml:space="preserve"> 1U სივრცის დაკავება.</w:t>
            </w:r>
          </w:p>
        </w:tc>
      </w:tr>
      <w:tr w:rsidR="00E86482" w:rsidRPr="0076376A" w:rsidTr="00E86482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 w:cs="Sylfaen"/>
                <w:lang w:val="ka-GE"/>
              </w:rPr>
            </w:pPr>
            <w:r w:rsidRPr="009B6E4D">
              <w:rPr>
                <w:rFonts w:ascii="Sylfaen" w:hAnsi="Sylfaen" w:cs="Sylfaen"/>
                <w:lang w:val="ka-GE"/>
              </w:rPr>
              <w:t>გარანტია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482" w:rsidRPr="009B6E4D" w:rsidRDefault="00E86482" w:rsidP="006A294F">
            <w:pPr>
              <w:rPr>
                <w:rFonts w:ascii="Sylfaen" w:hAnsi="Sylfaen"/>
                <w:lang w:val="ka-GE"/>
              </w:rPr>
            </w:pPr>
            <w:r w:rsidRPr="009B6E4D">
              <w:rPr>
                <w:rFonts w:ascii="Sylfaen" w:hAnsi="Sylfaen"/>
                <w:lang w:val="ka-GE"/>
              </w:rPr>
              <w:t>არანაკლებ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5</w:t>
            </w:r>
            <w:r w:rsidRPr="009B6E4D">
              <w:rPr>
                <w:rFonts w:ascii="Sylfaen" w:hAnsi="Sylfaen"/>
                <w:lang w:val="ka-GE"/>
              </w:rPr>
              <w:t xml:space="preserve"> წელი</w:t>
            </w:r>
            <w:r>
              <w:rPr>
                <w:rFonts w:ascii="Sylfaen" w:hAnsi="Sylfaen"/>
                <w:lang w:val="ka-GE"/>
              </w:rPr>
              <w:t xml:space="preserve"> მწარმოებლის</w:t>
            </w:r>
            <w:r w:rsidRPr="009B6E4D">
              <w:rPr>
                <w:rFonts w:ascii="Sylfaen" w:hAnsi="Sylfaen"/>
                <w:lang w:val="ka-GE"/>
              </w:rPr>
              <w:t xml:space="preserve"> გარანტია</w:t>
            </w:r>
            <w:r>
              <w:rPr>
                <w:rFonts w:ascii="Sylfaen" w:hAnsi="Sylfaen"/>
                <w:lang w:val="ka-GE"/>
              </w:rPr>
              <w:t>, პროგრამულ განახლებებეზე წვდომით და მწარმოებლის ტექნიკურ ჯგუფთან კავშირის უფლებით.</w:t>
            </w:r>
          </w:p>
        </w:tc>
      </w:tr>
    </w:tbl>
    <w:p w:rsidR="0072743B" w:rsidRDefault="0072743B" w:rsidP="0072743B">
      <w:pPr>
        <w:jc w:val="both"/>
        <w:rPr>
          <w:rFonts w:ascii="Sylfaen" w:hAnsi="Sylfaen" w:cs="Sylfaen"/>
          <w:b/>
          <w:lang w:val="ka-GE"/>
        </w:rPr>
      </w:pPr>
    </w:p>
    <w:p w:rsidR="00E86482" w:rsidRDefault="00E86482" w:rsidP="0072743B">
      <w:pPr>
        <w:jc w:val="both"/>
        <w:rPr>
          <w:rFonts w:ascii="Sylfaen" w:hAnsi="Sylfaen" w:cs="Sylfaen"/>
          <w:b/>
          <w:lang w:val="ka-GE"/>
        </w:rPr>
      </w:pPr>
    </w:p>
    <w:p w:rsidR="00E86482" w:rsidRDefault="00E86482" w:rsidP="0072743B">
      <w:pPr>
        <w:jc w:val="both"/>
        <w:rPr>
          <w:rFonts w:ascii="Sylfaen" w:hAnsi="Sylfaen" w:cs="Sylfaen"/>
          <w:b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7336B0" w:rsidRDefault="007336B0" w:rsidP="00506E2A">
      <w:pPr>
        <w:jc w:val="both"/>
        <w:rPr>
          <w:rFonts w:ascii="Sylfaen" w:hAnsi="Sylfaen"/>
          <w:lang w:val="ka-GE"/>
        </w:rPr>
      </w:pPr>
    </w:p>
    <w:p w:rsidR="007336B0" w:rsidRDefault="007336B0" w:rsidP="00506E2A">
      <w:pPr>
        <w:jc w:val="both"/>
        <w:rPr>
          <w:rFonts w:ascii="Sylfaen" w:hAnsi="Sylfaen"/>
          <w:lang w:val="ka-GE"/>
        </w:rPr>
      </w:pPr>
    </w:p>
    <w:p w:rsidR="007336B0" w:rsidRDefault="007336B0" w:rsidP="00506E2A">
      <w:pPr>
        <w:jc w:val="both"/>
        <w:rPr>
          <w:rFonts w:ascii="Sylfaen" w:hAnsi="Sylfaen"/>
          <w:lang w:val="ka-GE"/>
        </w:rPr>
      </w:pPr>
    </w:p>
    <w:p w:rsidR="007336B0" w:rsidRDefault="007336B0" w:rsidP="00506E2A">
      <w:pPr>
        <w:jc w:val="both"/>
        <w:rPr>
          <w:rFonts w:ascii="Sylfaen" w:hAnsi="Sylfaen"/>
          <w:lang w:val="ka-GE"/>
        </w:rPr>
      </w:pPr>
    </w:p>
    <w:p w:rsidR="007336B0" w:rsidRDefault="007336B0" w:rsidP="00506E2A">
      <w:pPr>
        <w:jc w:val="both"/>
        <w:rPr>
          <w:rFonts w:ascii="Sylfaen" w:hAnsi="Sylfaen"/>
          <w:lang w:val="ka-GE"/>
        </w:rPr>
      </w:pPr>
    </w:p>
    <w:p w:rsidR="007336B0" w:rsidRDefault="007336B0" w:rsidP="00506E2A">
      <w:pPr>
        <w:jc w:val="both"/>
        <w:rPr>
          <w:rFonts w:ascii="Sylfaen" w:hAnsi="Sylfaen"/>
          <w:lang w:val="ka-GE"/>
        </w:rPr>
      </w:pPr>
    </w:p>
    <w:p w:rsidR="007336B0" w:rsidRDefault="007336B0" w:rsidP="00B00A1F">
      <w:pPr>
        <w:jc w:val="both"/>
        <w:rPr>
          <w:rFonts w:ascii="Sylfaen" w:hAnsi="Sylfaen"/>
          <w:b/>
          <w:u w:val="single"/>
          <w:lang w:val="ka-GE"/>
        </w:rPr>
      </w:pPr>
    </w:p>
    <w:p w:rsidR="005E0F9B" w:rsidRPr="0051008E" w:rsidRDefault="005E0F9B" w:rsidP="00B00A1F">
      <w:pPr>
        <w:jc w:val="both"/>
        <w:rPr>
          <w:rFonts w:ascii="Sylfaen" w:hAnsi="Sylfaen"/>
          <w:lang w:val="en-US"/>
        </w:rPr>
      </w:pPr>
      <w:r w:rsidRPr="007336B0">
        <w:rPr>
          <w:rFonts w:ascii="Sylfaen" w:hAnsi="Sylfaen"/>
          <w:b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E86482" w:rsidRPr="00E86482">
        <w:rPr>
          <w:rFonts w:ascii="Sylfaen" w:hAnsi="Sylfaen"/>
          <w:lang w:val="ka-GE"/>
        </w:rPr>
        <w:t>საქართველო, ქ.თბილისი, 0177, გაზაფხულის ქ.18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</w:t>
      </w:r>
      <w:r w:rsidR="00804A3B">
        <w:rPr>
          <w:rFonts w:ascii="Sylfaen" w:hAnsi="Sylfaen"/>
          <w:lang w:val="ka-GE"/>
        </w:rPr>
        <w:t xml:space="preserve"> საერთაშორისო ენერგეტიკული კორპო</w:t>
      </w:r>
      <w:r w:rsidRPr="007D141F">
        <w:rPr>
          <w:rFonts w:ascii="Sylfaen" w:hAnsi="Sylfaen"/>
          <w:lang w:val="ka-GE"/>
        </w:rPr>
        <w:t>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655403" w:rsidRDefault="00655403" w:rsidP="00B00A1F">
      <w:pPr>
        <w:jc w:val="both"/>
        <w:rPr>
          <w:rFonts w:ascii="Sylfaen" w:hAnsi="Sylfaen"/>
          <w:lang w:val="ka-GE"/>
        </w:rPr>
      </w:pP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A214C0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46139A" w:rsidRDefault="0046139A" w:rsidP="00F44AC3">
      <w:pPr>
        <w:pStyle w:val="ListParagraph"/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4F2E0D" w:rsidRPr="00F44AC3" w:rsidRDefault="004F2E0D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B059C7" w:rsidRP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059C7" w:rsidRPr="00655403" w:rsidRDefault="00B55AD9" w:rsidP="0065540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C13596" w:rsidRPr="00C13596" w:rsidRDefault="00C13596" w:rsidP="00C13596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C13596"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შესახებ;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B059C7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</w:t>
      </w:r>
      <w:bookmarkStart w:id="0" w:name="_GoBack"/>
      <w:bookmarkEnd w:id="0"/>
      <w:r w:rsidR="001B16B4">
        <w:rPr>
          <w:rFonts w:ascii="Sylfaen" w:hAnsi="Sylfaen" w:cs="Sylfaen"/>
          <w:lang w:val="ka-GE"/>
        </w:rPr>
        <w:t>ოდი)</w:t>
      </w:r>
      <w:r w:rsidRPr="00542FB6">
        <w:rPr>
          <w:rFonts w:ascii="Sylfaen" w:hAnsi="Sylfaen"/>
          <w:lang w:val="ka-GE"/>
        </w:rPr>
        <w:t>;</w:t>
      </w:r>
    </w:p>
    <w:p w:rsidR="00332F83" w:rsidRPr="00655403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059C7" w:rsidRPr="00C13596" w:rsidRDefault="00655403" w:rsidP="00732B3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C13596">
        <w:rPr>
          <w:rFonts w:ascii="Sylfaen" w:hAnsi="Sylfaen" w:cs="Sylfaen"/>
          <w:lang w:val="ka-GE"/>
        </w:rPr>
        <w:t>პრეტენდენტი კომპანია უნდა იყოს შემოთავაზებული აქტიური აპარატურის მწარმოებლის სერტიფიცირებული პარტნიორი და უნდა წარმოადგინოს მწარმოებლის ავტორიზაციის ფორმა (ე.წ. MAF –Manufacturer Authoriz</w:t>
      </w:r>
      <w:r w:rsidR="00C13596">
        <w:rPr>
          <w:rFonts w:ascii="Sylfaen" w:hAnsi="Sylfaen" w:cs="Sylfaen"/>
          <w:lang w:val="ka-GE"/>
        </w:rPr>
        <w:t>ation Form).</w:t>
      </w:r>
    </w:p>
    <w:p w:rsidR="007336B0" w:rsidRDefault="007336B0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Default="00655403" w:rsidP="007336B0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  <w:r w:rsidR="00B55AD9"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4E5693" w:rsidRDefault="004E569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46139A" w:rsidRPr="00921DE4" w:rsidRDefault="004E5693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u w:val="single"/>
          <w:lang w:val="ka-GE"/>
        </w:rPr>
      </w:pPr>
      <w:r w:rsidRPr="00921DE4">
        <w:rPr>
          <w:rFonts w:ascii="Sylfaen" w:hAnsi="Sylfaen"/>
          <w:i/>
          <w:u w:val="single"/>
          <w:lang w:val="ka-GE"/>
        </w:rPr>
        <w:t>გადახდის პირობაში სასურველია გათვალისწინებული იყოს გადახდის რამდენიმე ეტაპი</w:t>
      </w:r>
      <w:r w:rsidR="007336B0" w:rsidRPr="00921DE4">
        <w:rPr>
          <w:rFonts w:ascii="Sylfaen" w:hAnsi="Sylfaen"/>
          <w:i/>
          <w:u w:val="single"/>
          <w:lang w:val="ka-GE"/>
        </w:rPr>
        <w:t>.</w:t>
      </w: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7336B0" w:rsidRDefault="007336B0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i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B059C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483415">
        <w:rPr>
          <w:rFonts w:ascii="Sylfaen" w:hAnsi="Sylfaen"/>
          <w:b/>
          <w:lang w:val="en-US"/>
        </w:rPr>
        <w:t>14</w:t>
      </w:r>
      <w:r w:rsidR="007336B0">
        <w:rPr>
          <w:rFonts w:ascii="Sylfaen" w:hAnsi="Sylfaen"/>
          <w:b/>
          <w:lang w:val="en-US"/>
        </w:rPr>
        <w:t>/06-GIEC-P/-22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7336B0" w:rsidRPr="007336B0" w:rsidRDefault="007336B0" w:rsidP="007336B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7336B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გიორგი ხუნჩუკაშვილი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91 50 87 21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483415">
        <w:rPr>
          <w:rFonts w:ascii="Sylfaen" w:hAnsi="Sylfaen"/>
          <w:b/>
          <w:u w:val="single"/>
          <w:lang w:val="ka-GE"/>
        </w:rPr>
        <w:t>28</w:t>
      </w:r>
      <w:r w:rsidR="007336B0">
        <w:rPr>
          <w:rFonts w:ascii="Sylfaen" w:hAnsi="Sylfaen"/>
          <w:b/>
          <w:u w:val="single"/>
          <w:lang w:val="ka-GE"/>
        </w:rPr>
        <w:t xml:space="preserve"> ივნისი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E86482">
      <w:pgSz w:w="11906" w:h="16838"/>
      <w:pgMar w:top="720" w:right="74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964FB"/>
    <w:rsid w:val="000D7F1B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6139A"/>
    <w:rsid w:val="00483415"/>
    <w:rsid w:val="004C7F38"/>
    <w:rsid w:val="004E5693"/>
    <w:rsid w:val="004F2E0D"/>
    <w:rsid w:val="00506E2A"/>
    <w:rsid w:val="0051008E"/>
    <w:rsid w:val="00542A19"/>
    <w:rsid w:val="00542FB6"/>
    <w:rsid w:val="00556480"/>
    <w:rsid w:val="00564BCE"/>
    <w:rsid w:val="005E0F9B"/>
    <w:rsid w:val="005F2A6C"/>
    <w:rsid w:val="00655403"/>
    <w:rsid w:val="0066061A"/>
    <w:rsid w:val="006661BA"/>
    <w:rsid w:val="006B22AE"/>
    <w:rsid w:val="006C456B"/>
    <w:rsid w:val="00700289"/>
    <w:rsid w:val="00717F77"/>
    <w:rsid w:val="007217E8"/>
    <w:rsid w:val="0072743B"/>
    <w:rsid w:val="007336B0"/>
    <w:rsid w:val="007608FB"/>
    <w:rsid w:val="007D141F"/>
    <w:rsid w:val="00804A3B"/>
    <w:rsid w:val="0082095D"/>
    <w:rsid w:val="008459CA"/>
    <w:rsid w:val="008B115D"/>
    <w:rsid w:val="008B1806"/>
    <w:rsid w:val="00901BFA"/>
    <w:rsid w:val="00901C4D"/>
    <w:rsid w:val="00921DE4"/>
    <w:rsid w:val="009A1EB8"/>
    <w:rsid w:val="009D3731"/>
    <w:rsid w:val="00A214C0"/>
    <w:rsid w:val="00A54EDA"/>
    <w:rsid w:val="00A6605E"/>
    <w:rsid w:val="00AD38EF"/>
    <w:rsid w:val="00B00A1F"/>
    <w:rsid w:val="00B059C7"/>
    <w:rsid w:val="00B37273"/>
    <w:rsid w:val="00B55AD9"/>
    <w:rsid w:val="00B67018"/>
    <w:rsid w:val="00BD4033"/>
    <w:rsid w:val="00C13596"/>
    <w:rsid w:val="00C309C1"/>
    <w:rsid w:val="00C42E0F"/>
    <w:rsid w:val="00C525A6"/>
    <w:rsid w:val="00C74D4F"/>
    <w:rsid w:val="00C75A5D"/>
    <w:rsid w:val="00D0530B"/>
    <w:rsid w:val="00D412F0"/>
    <w:rsid w:val="00D5710D"/>
    <w:rsid w:val="00D670B5"/>
    <w:rsid w:val="00DA2710"/>
    <w:rsid w:val="00DE2846"/>
    <w:rsid w:val="00DF72CE"/>
    <w:rsid w:val="00E86482"/>
    <w:rsid w:val="00ED4438"/>
    <w:rsid w:val="00F44AC3"/>
    <w:rsid w:val="00F72BAE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EC0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22</cp:revision>
  <cp:lastPrinted>2022-02-01T07:08:00Z</cp:lastPrinted>
  <dcterms:created xsi:type="dcterms:W3CDTF">2022-02-01T06:33:00Z</dcterms:created>
  <dcterms:modified xsi:type="dcterms:W3CDTF">2022-06-14T10:15:00Z</dcterms:modified>
</cp:coreProperties>
</file>